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9D" w:rsidRPr="008D2733" w:rsidRDefault="00ED4304" w:rsidP="0055498F">
      <w:pPr>
        <w:shd w:val="clear" w:color="auto" w:fill="FFFFFF"/>
        <w:spacing w:after="150" w:line="750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Peptic ulcer</w:t>
      </w:r>
    </w:p>
    <w:p w:rsidR="0009379D" w:rsidRPr="008D2733" w:rsidRDefault="0009379D" w:rsidP="0055498F">
      <w:pPr>
        <w:shd w:val="clear" w:color="auto" w:fill="FFFFFF"/>
        <w:spacing w:after="384" w:line="420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Stomach ulcers are painful sores that can be found in the stomach lining or small intestine. They occur when the thick layer of mucus that protects </w:t>
      </w:r>
      <w:r w:rsidR="0055498F"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the</w:t>
      </w: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stomach from digestive juices is reduced, thus enabling the digestive acids to eat away at the lining tissues of the stomach.</w:t>
      </w:r>
    </w:p>
    <w:p w:rsidR="0009379D" w:rsidRPr="008D2733" w:rsidRDefault="0009379D" w:rsidP="0009379D">
      <w:pPr>
        <w:spacing w:after="180" w:line="330" w:lineRule="atLeast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Peptic ulcers include:</w:t>
      </w:r>
    </w:p>
    <w:p w:rsidR="0009379D" w:rsidRPr="008D2733" w:rsidRDefault="0009379D" w:rsidP="0009379D">
      <w:pPr>
        <w:numPr>
          <w:ilvl w:val="0"/>
          <w:numId w:val="1"/>
        </w:numPr>
        <w:spacing w:before="100" w:beforeAutospacing="1" w:after="0" w:line="330" w:lineRule="atLeast"/>
        <w:ind w:left="360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Gastric ulcers</w:t>
      </w: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that occur on the inside of the stomach</w:t>
      </w:r>
    </w:p>
    <w:p w:rsidR="0055498F" w:rsidRPr="008D2733" w:rsidRDefault="0009379D" w:rsidP="004F10EC">
      <w:pPr>
        <w:numPr>
          <w:ilvl w:val="0"/>
          <w:numId w:val="1"/>
        </w:numPr>
        <w:spacing w:before="100" w:beforeAutospacing="1" w:after="0" w:line="330" w:lineRule="atLeast"/>
        <w:ind w:left="360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Esophageal ulcers</w:t>
      </w: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that occur inside the (esophagus</w:t>
      </w:r>
      <w:r w:rsidR="0055498F"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)</w:t>
      </w:r>
    </w:p>
    <w:p w:rsidR="0009379D" w:rsidRPr="008D2733" w:rsidRDefault="0009379D" w:rsidP="0009379D">
      <w:pPr>
        <w:numPr>
          <w:ilvl w:val="0"/>
          <w:numId w:val="1"/>
        </w:numPr>
        <w:spacing w:before="100" w:beforeAutospacing="1" w:after="0" w:line="330" w:lineRule="atLeast"/>
        <w:ind w:left="360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Duodenal ulcers</w:t>
      </w: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that occur on the inside of the upper portion of your small intestine (duodenum)</w:t>
      </w:r>
    </w:p>
    <w:p w:rsidR="0055498F" w:rsidRPr="008D2733" w:rsidRDefault="0055498F" w:rsidP="0009379D">
      <w:pPr>
        <w:numPr>
          <w:ilvl w:val="0"/>
          <w:numId w:val="1"/>
        </w:numPr>
        <w:spacing w:before="100" w:beforeAutospacing="1" w:after="0" w:line="330" w:lineRule="atLeast"/>
        <w:ind w:left="360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Causes:</w:t>
      </w:r>
    </w:p>
    <w:p w:rsidR="0009379D" w:rsidRPr="008D2733" w:rsidRDefault="0009379D" w:rsidP="0009379D">
      <w:pPr>
        <w:numPr>
          <w:ilvl w:val="0"/>
          <w:numId w:val="2"/>
        </w:numPr>
        <w:shd w:val="clear" w:color="auto" w:fill="FFFFFF"/>
        <w:spacing w:after="0" w:line="420" w:lineRule="atLeast"/>
        <w:ind w:left="705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an infection with the bacterium </w:t>
      </w:r>
      <w:r w:rsidRPr="008D2733">
        <w:rPr>
          <w:rFonts w:asciiTheme="majorBidi" w:eastAsia="Times New Roman" w:hAnsiTheme="majorBidi" w:cstheme="majorBidi"/>
          <w:i/>
          <w:iCs/>
          <w:color w:val="000000" w:themeColor="text1"/>
          <w:sz w:val="32"/>
          <w:szCs w:val="32"/>
        </w:rPr>
        <w:t>Helicobacter pylori</w:t>
      </w: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(</w:t>
      </w:r>
      <w:r w:rsidRPr="008D2733">
        <w:rPr>
          <w:rFonts w:asciiTheme="majorBidi" w:eastAsia="Times New Roman" w:hAnsiTheme="majorBidi" w:cstheme="majorBidi"/>
          <w:i/>
          <w:iCs/>
          <w:color w:val="000000" w:themeColor="text1"/>
          <w:sz w:val="32"/>
          <w:szCs w:val="32"/>
        </w:rPr>
        <w:t>H. pylori</w:t>
      </w: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)</w:t>
      </w:r>
    </w:p>
    <w:p w:rsidR="0009379D" w:rsidRPr="008D2733" w:rsidRDefault="0009379D" w:rsidP="0009379D">
      <w:pPr>
        <w:numPr>
          <w:ilvl w:val="0"/>
          <w:numId w:val="2"/>
        </w:numPr>
        <w:shd w:val="clear" w:color="auto" w:fill="FFFFFF"/>
        <w:spacing w:after="0" w:line="420" w:lineRule="atLeast"/>
        <w:ind w:left="705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long-term use of </w:t>
      </w:r>
      <w:proofErr w:type="spellStart"/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nonsteroidal</w:t>
      </w:r>
      <w:proofErr w:type="spellEnd"/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anti-inflammatory drugs (NSAIDs), such as aspirin and ibuprofen</w:t>
      </w:r>
    </w:p>
    <w:p w:rsidR="0009379D" w:rsidRPr="008D2733" w:rsidRDefault="0009379D" w:rsidP="0009379D">
      <w:pPr>
        <w:numPr>
          <w:ilvl w:val="0"/>
          <w:numId w:val="2"/>
        </w:numPr>
        <w:shd w:val="clear" w:color="auto" w:fill="FFFFFF"/>
        <w:spacing w:after="0" w:line="420" w:lineRule="atLeast"/>
        <w:ind w:left="705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excess acid (hyperacidity) in the stomach, which may be related to genetics, lifestyle (stress, smoking), and certain foods</w:t>
      </w:r>
    </w:p>
    <w:p w:rsidR="0009379D" w:rsidRPr="008D2733" w:rsidRDefault="0009379D" w:rsidP="0009379D">
      <w:pPr>
        <w:numPr>
          <w:ilvl w:val="0"/>
          <w:numId w:val="2"/>
        </w:numPr>
        <w:shd w:val="clear" w:color="auto" w:fill="FFFFFF"/>
        <w:spacing w:after="0" w:line="420" w:lineRule="atLeast"/>
        <w:ind w:left="705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proofErr w:type="spellStart"/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Zollinger</w:t>
      </w:r>
      <w:proofErr w:type="spellEnd"/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-Ellison syndrome, a rare disease that makes the body produce excess stomach acid</w:t>
      </w:r>
    </w:p>
    <w:p w:rsidR="0076300E" w:rsidRPr="008D2733" w:rsidRDefault="0076300E" w:rsidP="0076300E">
      <w:pPr>
        <w:shd w:val="clear" w:color="auto" w:fill="FFFFFF"/>
        <w:spacing w:after="0" w:line="420" w:lineRule="atLeast"/>
        <w:ind w:left="360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</w:p>
    <w:p w:rsidR="00ED4304" w:rsidRPr="008D2733" w:rsidRDefault="0076300E" w:rsidP="0076300E">
      <w:pPr>
        <w:shd w:val="clear" w:color="auto" w:fill="FFFFFF"/>
        <w:spacing w:after="384" w:line="420" w:lineRule="atLeast"/>
        <w:textAlignment w:val="baseline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    </w:t>
      </w:r>
      <w:r w:rsidR="0009379D" w:rsidRPr="008D2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Certain factors and behaviors can put </w:t>
      </w:r>
      <w:r w:rsidR="0055498F" w:rsidRPr="008D2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the patient</w:t>
      </w:r>
      <w:r w:rsidR="0009379D" w:rsidRPr="008D2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at higher risk for </w:t>
      </w:r>
      <w:r w:rsidR="00ED4304" w:rsidRPr="008D2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  </w:t>
      </w:r>
      <w:r w:rsidRPr="008D2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    </w:t>
      </w:r>
      <w:r w:rsidR="0009379D" w:rsidRPr="008D2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developing stomach ulcers</w:t>
      </w:r>
    </w:p>
    <w:p w:rsidR="0009379D" w:rsidRPr="008D2733" w:rsidRDefault="0009379D" w:rsidP="00ED4304">
      <w:pPr>
        <w:numPr>
          <w:ilvl w:val="0"/>
          <w:numId w:val="14"/>
        </w:numPr>
        <w:shd w:val="clear" w:color="auto" w:fill="FFFFFF"/>
        <w:spacing w:after="0" w:line="420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frequent use of steroids (such as those for treating asthma)</w:t>
      </w:r>
    </w:p>
    <w:p w:rsidR="0009379D" w:rsidRPr="008D2733" w:rsidRDefault="0009379D" w:rsidP="00ED4304">
      <w:pPr>
        <w:numPr>
          <w:ilvl w:val="0"/>
          <w:numId w:val="14"/>
        </w:numPr>
        <w:shd w:val="clear" w:color="auto" w:fill="FFFFFF"/>
        <w:spacing w:after="0" w:line="420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proofErr w:type="spellStart"/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hypercalcemia</w:t>
      </w:r>
      <w:proofErr w:type="spellEnd"/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(overproduction of calcium)</w:t>
      </w:r>
    </w:p>
    <w:p w:rsidR="0009379D" w:rsidRPr="008D2733" w:rsidRDefault="0009379D" w:rsidP="00ED4304">
      <w:pPr>
        <w:numPr>
          <w:ilvl w:val="0"/>
          <w:numId w:val="14"/>
        </w:numPr>
        <w:shd w:val="clear" w:color="auto" w:fill="FFFFFF"/>
        <w:spacing w:after="0" w:line="420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family history of stomach ulcers</w:t>
      </w:r>
    </w:p>
    <w:p w:rsidR="0009379D" w:rsidRPr="008D2733" w:rsidRDefault="0009379D" w:rsidP="00ED4304">
      <w:pPr>
        <w:numPr>
          <w:ilvl w:val="0"/>
          <w:numId w:val="14"/>
        </w:numPr>
        <w:shd w:val="clear" w:color="auto" w:fill="FFFFFF"/>
        <w:spacing w:after="0" w:line="420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lastRenderedPageBreak/>
        <w:t>being over 50 years old</w:t>
      </w:r>
    </w:p>
    <w:p w:rsidR="0009379D" w:rsidRPr="008D2733" w:rsidRDefault="0009379D" w:rsidP="00ED4304">
      <w:pPr>
        <w:numPr>
          <w:ilvl w:val="0"/>
          <w:numId w:val="14"/>
        </w:numPr>
        <w:shd w:val="clear" w:color="auto" w:fill="FFFFFF"/>
        <w:spacing w:after="0" w:line="420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excessive consumption of alcohol</w:t>
      </w:r>
    </w:p>
    <w:p w:rsidR="00ED4304" w:rsidRPr="008D2733" w:rsidRDefault="00ED4304" w:rsidP="00ED4304">
      <w:pPr>
        <w:numPr>
          <w:ilvl w:val="0"/>
          <w:numId w:val="14"/>
        </w:numPr>
        <w:shd w:val="clear" w:color="auto" w:fill="FFFFFF"/>
        <w:spacing w:after="0" w:line="420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smoking</w:t>
      </w:r>
    </w:p>
    <w:p w:rsidR="00ED4304" w:rsidRPr="008D2733" w:rsidRDefault="00ED4304" w:rsidP="00ED4304">
      <w:pPr>
        <w:shd w:val="clear" w:color="auto" w:fill="FFFFFF"/>
        <w:spacing w:after="0" w:line="420" w:lineRule="atLeast"/>
        <w:ind w:left="360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</w:p>
    <w:p w:rsidR="00143E86" w:rsidRPr="008D2733" w:rsidRDefault="00143E86" w:rsidP="00ED4304">
      <w:pPr>
        <w:spacing w:after="0" w:line="240" w:lineRule="auto"/>
        <w:ind w:left="360" w:right="649"/>
        <w:textAlignment w:val="baseline"/>
        <w:outlineLvl w:val="0"/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32"/>
          <w:szCs w:val="32"/>
        </w:rPr>
        <w:t xml:space="preserve">Difference between Gastric </w:t>
      </w:r>
      <w:proofErr w:type="gramStart"/>
      <w:r w:rsidRPr="008D2733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32"/>
          <w:szCs w:val="32"/>
        </w:rPr>
        <w:t xml:space="preserve">and </w:t>
      </w:r>
      <w:r w:rsidR="00ED4304" w:rsidRPr="008D2733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32"/>
          <w:szCs w:val="32"/>
        </w:rPr>
        <w:t xml:space="preserve"> </w:t>
      </w:r>
      <w:r w:rsidRPr="008D2733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32"/>
          <w:szCs w:val="32"/>
        </w:rPr>
        <w:t>Duodenal</w:t>
      </w:r>
      <w:proofErr w:type="gramEnd"/>
      <w:r w:rsidRPr="008D2733">
        <w:rPr>
          <w:rFonts w:asciiTheme="majorBidi" w:eastAsia="Times New Roman" w:hAnsiTheme="majorBidi" w:cstheme="majorBidi"/>
          <w:b/>
          <w:bCs/>
          <w:color w:val="000000" w:themeColor="text1"/>
          <w:kern w:val="36"/>
          <w:sz w:val="32"/>
          <w:szCs w:val="32"/>
        </w:rPr>
        <w:t xml:space="preserve"> Ulcer symptoms</w:t>
      </w:r>
    </w:p>
    <w:p w:rsidR="00143E86" w:rsidRPr="008D2733" w:rsidRDefault="00143E86" w:rsidP="0076300E">
      <w:pPr>
        <w:spacing w:after="0" w:line="259" w:lineRule="atLeast"/>
        <w:ind w:left="360"/>
        <w:textAlignment w:val="baseline"/>
        <w:rPr>
          <w:rFonts w:asciiTheme="majorBidi" w:eastAsia="Times New Roman" w:hAnsiTheme="majorBidi" w:cstheme="majorBidi"/>
          <w:caps/>
          <w:color w:val="000000" w:themeColor="text1"/>
          <w:spacing w:val="12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caps/>
          <w:color w:val="000000" w:themeColor="text1"/>
          <w:spacing w:val="12"/>
          <w:sz w:val="32"/>
          <w:szCs w:val="32"/>
        </w:rPr>
        <w:t> </w:t>
      </w:r>
    </w:p>
    <w:tbl>
      <w:tblPr>
        <w:tblW w:w="6662" w:type="dxa"/>
        <w:tblCellSpacing w:w="15" w:type="dxa"/>
        <w:tblInd w:w="596" w:type="dxa"/>
        <w:tblBorders>
          <w:top w:val="single" w:sz="4" w:space="0" w:color="393636"/>
          <w:left w:val="single" w:sz="4" w:space="0" w:color="393636"/>
          <w:bottom w:val="single" w:sz="4" w:space="0" w:color="393636"/>
          <w:right w:val="single" w:sz="4" w:space="0" w:color="393636"/>
        </w:tblBorders>
        <w:tblCellMar>
          <w:left w:w="0" w:type="dxa"/>
          <w:right w:w="0" w:type="dxa"/>
        </w:tblCellMar>
        <w:tblLook w:val="04A0"/>
      </w:tblPr>
      <w:tblGrid>
        <w:gridCol w:w="3151"/>
        <w:gridCol w:w="3511"/>
      </w:tblGrid>
      <w:tr w:rsidR="00143E86" w:rsidRPr="008D2733" w:rsidTr="00ED4304">
        <w:trPr>
          <w:tblCellSpacing w:w="15" w:type="dxa"/>
        </w:trPr>
        <w:tc>
          <w:tcPr>
            <w:tcW w:w="3106" w:type="dxa"/>
            <w:tcBorders>
              <w:top w:val="single" w:sz="4" w:space="0" w:color="393636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143E86" w:rsidRPr="008D2733" w:rsidRDefault="00143E86" w:rsidP="008C6D2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</w:pPr>
            <w:r w:rsidRPr="008D273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  <w:t>Gastric Ulcer</w:t>
            </w:r>
          </w:p>
        </w:tc>
        <w:tc>
          <w:tcPr>
            <w:tcW w:w="3466" w:type="dxa"/>
            <w:tcBorders>
              <w:top w:val="single" w:sz="4" w:space="0" w:color="393636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143E86" w:rsidRPr="008D2733" w:rsidRDefault="00143E86" w:rsidP="008C6D2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</w:pPr>
            <w:r w:rsidRPr="008D273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  <w:t>Duodenal Ulcer</w:t>
            </w:r>
          </w:p>
        </w:tc>
      </w:tr>
      <w:tr w:rsidR="00143E86" w:rsidRPr="008D2733" w:rsidTr="00ED4304">
        <w:trPr>
          <w:tblCellSpacing w:w="15" w:type="dxa"/>
        </w:trPr>
        <w:tc>
          <w:tcPr>
            <w:tcW w:w="3106" w:type="dxa"/>
            <w:tcBorders>
              <w:top w:val="single" w:sz="4" w:space="0" w:color="393636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143E86" w:rsidRPr="008D2733" w:rsidRDefault="00143E86" w:rsidP="008C6D2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</w:pPr>
            <w:proofErr w:type="spellStart"/>
            <w:r w:rsidRPr="008D2733"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  <w:t>epigastric</w:t>
            </w:r>
            <w:proofErr w:type="spellEnd"/>
            <w:r w:rsidRPr="008D2733"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  <w:t xml:space="preserve"> pain occurring 30 minutes to 1 hour after meals</w:t>
            </w:r>
          </w:p>
        </w:tc>
        <w:tc>
          <w:tcPr>
            <w:tcW w:w="3466" w:type="dxa"/>
            <w:tcBorders>
              <w:top w:val="single" w:sz="4" w:space="0" w:color="393636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143E86" w:rsidRPr="008D2733" w:rsidRDefault="00143E86" w:rsidP="008C6D2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</w:pPr>
            <w:proofErr w:type="spellStart"/>
            <w:r w:rsidRPr="008D2733"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  <w:t>epigastric</w:t>
            </w:r>
            <w:proofErr w:type="spellEnd"/>
            <w:r w:rsidRPr="008D2733"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  <w:t xml:space="preserve"> pain occurring 2-3 hours after meals</w:t>
            </w:r>
          </w:p>
          <w:p w:rsidR="004F10EC" w:rsidRPr="008D2733" w:rsidRDefault="004F10EC" w:rsidP="008C6D2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143E86" w:rsidRPr="008D2733" w:rsidTr="00ED4304">
        <w:trPr>
          <w:tblCellSpacing w:w="15" w:type="dxa"/>
        </w:trPr>
        <w:tc>
          <w:tcPr>
            <w:tcW w:w="3106" w:type="dxa"/>
            <w:tcBorders>
              <w:top w:val="single" w:sz="4" w:space="0" w:color="393636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143E86" w:rsidRPr="008D2733" w:rsidRDefault="00143E86" w:rsidP="008C6D2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</w:pPr>
            <w:r w:rsidRPr="008D2733"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  <w:t xml:space="preserve">Aggravated by eating </w:t>
            </w:r>
            <w:r w:rsidR="004F10EC" w:rsidRPr="008D2733"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  <w:t xml:space="preserve">  </w:t>
            </w:r>
            <w:r w:rsidRPr="008D2733"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  <w:t>(because acid secretion increase at meal time) leads to weight loss</w:t>
            </w:r>
          </w:p>
        </w:tc>
        <w:tc>
          <w:tcPr>
            <w:tcW w:w="3466" w:type="dxa"/>
            <w:tcBorders>
              <w:top w:val="single" w:sz="4" w:space="0" w:color="393636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143E86" w:rsidRPr="008D2733" w:rsidRDefault="00143E86" w:rsidP="004F10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</w:pPr>
            <w:r w:rsidRPr="008D2733"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  <w:t>Relieved by food causes weight gain</w:t>
            </w:r>
          </w:p>
        </w:tc>
      </w:tr>
      <w:tr w:rsidR="00143E86" w:rsidRPr="008D2733" w:rsidTr="00ED4304">
        <w:trPr>
          <w:tblCellSpacing w:w="15" w:type="dxa"/>
        </w:trPr>
        <w:tc>
          <w:tcPr>
            <w:tcW w:w="3106" w:type="dxa"/>
            <w:tcBorders>
              <w:top w:val="single" w:sz="4" w:space="0" w:color="393636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143E86" w:rsidRPr="008D2733" w:rsidRDefault="00143E86" w:rsidP="004F10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</w:pPr>
            <w:r w:rsidRPr="008D2733"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  <w:t xml:space="preserve">Relieved by vomiting </w:t>
            </w:r>
          </w:p>
        </w:tc>
        <w:tc>
          <w:tcPr>
            <w:tcW w:w="3466" w:type="dxa"/>
            <w:tcBorders>
              <w:top w:val="single" w:sz="4" w:space="0" w:color="393636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143E86" w:rsidRPr="008D2733" w:rsidRDefault="00143E86" w:rsidP="008C6D2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</w:pPr>
            <w:r w:rsidRPr="008D2733"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  <w:t>Not relived</w:t>
            </w:r>
          </w:p>
        </w:tc>
      </w:tr>
      <w:tr w:rsidR="00143E86" w:rsidRPr="008D2733" w:rsidTr="00ED4304">
        <w:trPr>
          <w:tblCellSpacing w:w="15" w:type="dxa"/>
        </w:trPr>
        <w:tc>
          <w:tcPr>
            <w:tcW w:w="3106" w:type="dxa"/>
            <w:tcBorders>
              <w:top w:val="single" w:sz="4" w:space="0" w:color="393636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143E86" w:rsidRPr="008D2733" w:rsidRDefault="00143E86" w:rsidP="004F10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</w:pPr>
            <w:r w:rsidRPr="008D2733"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  <w:t xml:space="preserve">No pain at hours of sleep </w:t>
            </w:r>
          </w:p>
        </w:tc>
        <w:tc>
          <w:tcPr>
            <w:tcW w:w="3466" w:type="dxa"/>
            <w:tcBorders>
              <w:top w:val="single" w:sz="4" w:space="0" w:color="393636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143E86" w:rsidRPr="008D2733" w:rsidRDefault="00143E86" w:rsidP="004F10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</w:pPr>
            <w:r w:rsidRPr="008D2733"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  <w:t xml:space="preserve">Pain at hours of sleep </w:t>
            </w:r>
          </w:p>
        </w:tc>
      </w:tr>
      <w:tr w:rsidR="00143E86" w:rsidRPr="008D2733" w:rsidTr="00ED4304">
        <w:trPr>
          <w:tblCellSpacing w:w="15" w:type="dxa"/>
        </w:trPr>
        <w:tc>
          <w:tcPr>
            <w:tcW w:w="3106" w:type="dxa"/>
            <w:tcBorders>
              <w:top w:val="single" w:sz="4" w:space="0" w:color="393636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143E86" w:rsidRPr="008D2733" w:rsidRDefault="00143E86" w:rsidP="008C6D2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</w:pPr>
            <w:r w:rsidRPr="008D2733"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  <w:t>More common in persons older than age 50</w:t>
            </w:r>
          </w:p>
        </w:tc>
        <w:tc>
          <w:tcPr>
            <w:tcW w:w="3466" w:type="dxa"/>
            <w:tcBorders>
              <w:top w:val="single" w:sz="4" w:space="0" w:color="393636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11" w:type="dxa"/>
              <w:left w:w="277" w:type="dxa"/>
              <w:bottom w:w="111" w:type="dxa"/>
              <w:right w:w="277" w:type="dxa"/>
            </w:tcMar>
            <w:vAlign w:val="bottom"/>
            <w:hideMark/>
          </w:tcPr>
          <w:p w:rsidR="00143E86" w:rsidRPr="008D2733" w:rsidRDefault="00143E86" w:rsidP="008C6D2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</w:pPr>
            <w:r w:rsidRPr="008D2733">
              <w:rPr>
                <w:rFonts w:asciiTheme="majorBidi" w:eastAsia="Times New Roman" w:hAnsiTheme="majorBidi" w:cstheme="majorBidi"/>
                <w:color w:val="000000" w:themeColor="text1"/>
                <w:sz w:val="32"/>
                <w:szCs w:val="32"/>
              </w:rPr>
              <w:t>More common between ages 25 and 50</w:t>
            </w:r>
          </w:p>
        </w:tc>
      </w:tr>
    </w:tbl>
    <w:p w:rsidR="00143E86" w:rsidRPr="008D2733" w:rsidRDefault="00143E86" w:rsidP="00ED4304">
      <w:pPr>
        <w:shd w:val="clear" w:color="auto" w:fill="FFFFFF"/>
        <w:spacing w:after="0" w:line="420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</w:p>
    <w:p w:rsidR="0009379D" w:rsidRPr="008D2733" w:rsidRDefault="00ED4304" w:rsidP="006C5EE6">
      <w:pPr>
        <w:shd w:val="clear" w:color="auto" w:fill="FFFFFF"/>
        <w:spacing w:after="0" w:line="750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  </w:t>
      </w:r>
      <w:proofErr w:type="spellStart"/>
      <w:r w:rsidRPr="008D2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G</w:t>
      </w:r>
      <w:r w:rsidR="006C5EE6" w:rsidRPr="008D2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enaral</w:t>
      </w:r>
      <w:proofErr w:type="spellEnd"/>
      <w:r w:rsidR="006C5EE6" w:rsidRPr="008D2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s</w:t>
      </w:r>
      <w:r w:rsidR="0009379D" w:rsidRPr="008D2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ymptoms of Stomach Ulcers</w:t>
      </w:r>
    </w:p>
    <w:p w:rsidR="0009379D" w:rsidRPr="008D2733" w:rsidRDefault="0009379D" w:rsidP="0009379D">
      <w:pPr>
        <w:shd w:val="clear" w:color="auto" w:fill="FFFFFF"/>
        <w:spacing w:line="240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</w:p>
    <w:p w:rsidR="005C64AD" w:rsidRPr="008D2733" w:rsidRDefault="00ED4304" w:rsidP="004F10EC">
      <w:pPr>
        <w:shd w:val="clear" w:color="auto" w:fill="FFFFFF"/>
        <w:spacing w:after="384" w:line="420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lastRenderedPageBreak/>
        <w:t xml:space="preserve">  </w:t>
      </w:r>
      <w:r w:rsidR="0076300E"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 </w:t>
      </w:r>
      <w:proofErr w:type="gramStart"/>
      <w:r w:rsidR="0009379D"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pain</w:t>
      </w:r>
      <w:proofErr w:type="gramEnd"/>
      <w:r w:rsidR="0009379D"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in the stomach</w:t>
      </w:r>
      <w:r w:rsidR="005C64AD"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, the pain will be more intense when </w:t>
      </w:r>
      <w:r w:rsidR="004F10EC"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the </w:t>
      </w:r>
      <w:r w:rsidR="005C64AD"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stomach is </w:t>
      </w: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="0076300E"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="005C64AD"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empty and it can last for a few minutes or several hours.</w:t>
      </w:r>
    </w:p>
    <w:p w:rsidR="0009379D" w:rsidRPr="008D2733" w:rsidRDefault="0009379D" w:rsidP="0009379D">
      <w:pPr>
        <w:numPr>
          <w:ilvl w:val="0"/>
          <w:numId w:val="5"/>
        </w:numPr>
        <w:shd w:val="clear" w:color="auto" w:fill="FFFFFF"/>
        <w:spacing w:after="0" w:line="420" w:lineRule="atLeast"/>
        <w:ind w:left="705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weight loss</w:t>
      </w:r>
    </w:p>
    <w:p w:rsidR="0009379D" w:rsidRPr="008D2733" w:rsidRDefault="0009379D" w:rsidP="0009379D">
      <w:pPr>
        <w:numPr>
          <w:ilvl w:val="0"/>
          <w:numId w:val="5"/>
        </w:numPr>
        <w:shd w:val="clear" w:color="auto" w:fill="FFFFFF"/>
        <w:spacing w:after="0" w:line="420" w:lineRule="atLeast"/>
        <w:ind w:left="705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not wanting to eat because of pain</w:t>
      </w:r>
    </w:p>
    <w:p w:rsidR="0009379D" w:rsidRPr="008D2733" w:rsidRDefault="0009379D" w:rsidP="0009379D">
      <w:pPr>
        <w:numPr>
          <w:ilvl w:val="0"/>
          <w:numId w:val="5"/>
        </w:numPr>
        <w:shd w:val="clear" w:color="auto" w:fill="FFFFFF"/>
        <w:spacing w:after="0" w:line="420" w:lineRule="atLeast"/>
        <w:ind w:left="705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nausea or vomiting</w:t>
      </w:r>
    </w:p>
    <w:p w:rsidR="0009379D" w:rsidRPr="008D2733" w:rsidRDefault="0009379D" w:rsidP="0009379D">
      <w:pPr>
        <w:numPr>
          <w:ilvl w:val="0"/>
          <w:numId w:val="5"/>
        </w:numPr>
        <w:shd w:val="clear" w:color="auto" w:fill="FFFFFF"/>
        <w:spacing w:after="0" w:line="420" w:lineRule="atLeast"/>
        <w:ind w:left="705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bloating</w:t>
      </w:r>
    </w:p>
    <w:p w:rsidR="0009379D" w:rsidRPr="008D2733" w:rsidRDefault="0009379D" w:rsidP="0009379D">
      <w:pPr>
        <w:numPr>
          <w:ilvl w:val="0"/>
          <w:numId w:val="5"/>
        </w:numPr>
        <w:shd w:val="clear" w:color="auto" w:fill="FFFFFF"/>
        <w:spacing w:after="0" w:line="420" w:lineRule="atLeast"/>
        <w:ind w:left="705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heartburn (burning sensation in the chest)</w:t>
      </w:r>
    </w:p>
    <w:p w:rsidR="0009379D" w:rsidRPr="008D2733" w:rsidRDefault="0009379D" w:rsidP="006C5EE6">
      <w:pPr>
        <w:numPr>
          <w:ilvl w:val="0"/>
          <w:numId w:val="5"/>
        </w:numPr>
        <w:shd w:val="clear" w:color="auto" w:fill="FFFFFF"/>
        <w:spacing w:after="0" w:line="420" w:lineRule="atLeast"/>
        <w:ind w:left="705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pain improves when </w:t>
      </w:r>
      <w:r w:rsidR="006C5EE6"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the patient</w:t>
      </w: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eat, drink, or take antacids</w:t>
      </w:r>
    </w:p>
    <w:p w:rsidR="0009379D" w:rsidRPr="008D2733" w:rsidRDefault="00ED4304" w:rsidP="0009379D">
      <w:pPr>
        <w:spacing w:before="240" w:after="72" w:line="240" w:lineRule="auto"/>
        <w:outlineLvl w:val="2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  </w:t>
      </w:r>
      <w:r w:rsidR="0009379D" w:rsidRPr="008D2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When to seek medical advice</w:t>
      </w:r>
    </w:p>
    <w:p w:rsidR="0009379D" w:rsidRPr="008D2733" w:rsidRDefault="0009379D" w:rsidP="0009379D">
      <w:pPr>
        <w:spacing w:after="0" w:line="336" w:lineRule="atLeast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</w:p>
    <w:p w:rsidR="0009379D" w:rsidRPr="008D2733" w:rsidRDefault="008C4363" w:rsidP="006C5EE6">
      <w:pPr>
        <w:numPr>
          <w:ilvl w:val="0"/>
          <w:numId w:val="6"/>
        </w:numPr>
        <w:spacing w:after="0" w:line="336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hyperlink r:id="rId5" w:history="1">
        <w:r w:rsidR="0009379D" w:rsidRPr="008D2733">
          <w:rPr>
            <w:rFonts w:asciiTheme="majorBidi" w:eastAsia="Times New Roman" w:hAnsiTheme="majorBidi" w:cstheme="majorBidi"/>
            <w:color w:val="000000" w:themeColor="text1"/>
            <w:sz w:val="32"/>
            <w:szCs w:val="32"/>
            <w:u w:val="single"/>
          </w:rPr>
          <w:t>vomiting blood</w:t>
        </w:r>
      </w:hyperlink>
      <w:r w:rsidR="0009379D"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– the blood can appear bright red or have a dark brown, similar to coffee grounds</w:t>
      </w:r>
    </w:p>
    <w:p w:rsidR="0009379D" w:rsidRPr="008D2733" w:rsidRDefault="0009379D" w:rsidP="0009379D">
      <w:pPr>
        <w:numPr>
          <w:ilvl w:val="0"/>
          <w:numId w:val="6"/>
        </w:numPr>
        <w:spacing w:after="72" w:line="336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passing dark, sticky, tar-like stools</w:t>
      </w:r>
    </w:p>
    <w:p w:rsidR="0009379D" w:rsidRPr="008D2733" w:rsidRDefault="0009379D" w:rsidP="006C5EE6">
      <w:pPr>
        <w:numPr>
          <w:ilvl w:val="0"/>
          <w:numId w:val="6"/>
        </w:numPr>
        <w:spacing w:after="72" w:line="336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a sudden, sharp pain </w:t>
      </w:r>
    </w:p>
    <w:p w:rsidR="0009379D" w:rsidRPr="008D2733" w:rsidRDefault="0009379D" w:rsidP="00E3110F">
      <w:pPr>
        <w:spacing w:before="240" w:after="72" w:line="240" w:lineRule="auto"/>
        <w:outlineLvl w:val="2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br/>
      </w:r>
      <w:r w:rsidR="00E3110F"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  </w:t>
      </w:r>
      <w:r w:rsidRPr="008D2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The main complications include:</w:t>
      </w:r>
    </w:p>
    <w:p w:rsidR="0009379D" w:rsidRPr="008D2733" w:rsidRDefault="0009379D" w:rsidP="0009379D">
      <w:pPr>
        <w:numPr>
          <w:ilvl w:val="0"/>
          <w:numId w:val="7"/>
        </w:numPr>
        <w:spacing w:after="72" w:line="336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bleeding at the site of the ulcer</w:t>
      </w:r>
    </w:p>
    <w:p w:rsidR="0009379D" w:rsidRPr="008D2733" w:rsidRDefault="0009379D" w:rsidP="0009379D">
      <w:pPr>
        <w:numPr>
          <w:ilvl w:val="0"/>
          <w:numId w:val="7"/>
        </w:numPr>
        <w:spacing w:after="72" w:line="336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the stomach lining at the site of the ulcer splitting open – known as perforation</w:t>
      </w:r>
    </w:p>
    <w:p w:rsidR="0009379D" w:rsidRPr="008D2733" w:rsidRDefault="0009379D" w:rsidP="0009379D">
      <w:pPr>
        <w:numPr>
          <w:ilvl w:val="0"/>
          <w:numId w:val="7"/>
        </w:numPr>
        <w:spacing w:after="72" w:line="336" w:lineRule="atLeas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the ulcer blocking the movement of food through the digestive system – known as gastric obstruction</w:t>
      </w:r>
    </w:p>
    <w:p w:rsidR="006C5EE6" w:rsidRPr="008D2733" w:rsidRDefault="006C5EE6" w:rsidP="006C5EE6">
      <w:pPr>
        <w:shd w:val="clear" w:color="auto" w:fill="FFFFFF"/>
        <w:spacing w:after="0" w:line="750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How Are Stomach Ulcers Diagnosed?</w:t>
      </w:r>
    </w:p>
    <w:p w:rsidR="006C5EE6" w:rsidRPr="008D2733" w:rsidRDefault="006C5EE6" w:rsidP="006C5EE6">
      <w:pPr>
        <w:shd w:val="clear" w:color="auto" w:fill="FFFFFF"/>
        <w:spacing w:line="240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</w:p>
    <w:p w:rsidR="006C5EE6" w:rsidRPr="008D2733" w:rsidRDefault="006C5EE6" w:rsidP="00ED4304">
      <w:pPr>
        <w:shd w:val="clear" w:color="auto" w:fill="FFFFFF"/>
        <w:spacing w:after="384" w:line="420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Diagnosis and treatment will depend on symptoms and the severity of ulcer. </w:t>
      </w:r>
    </w:p>
    <w:p w:rsidR="006C5EE6" w:rsidRPr="008D2733" w:rsidRDefault="006C5EE6" w:rsidP="00ED4304">
      <w:pPr>
        <w:shd w:val="clear" w:color="auto" w:fill="FFFFFF"/>
        <w:spacing w:after="0" w:line="420" w:lineRule="atLeast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lastRenderedPageBreak/>
        <w:t>To rule out </w:t>
      </w:r>
      <w:r w:rsidRPr="008D2733">
        <w:rPr>
          <w:rFonts w:asciiTheme="majorBidi" w:eastAsia="Times New Roman" w:hAnsiTheme="majorBidi" w:cstheme="majorBidi"/>
          <w:i/>
          <w:iCs/>
          <w:color w:val="000000" w:themeColor="text1"/>
          <w:sz w:val="32"/>
          <w:szCs w:val="32"/>
        </w:rPr>
        <w:t>H. pylori</w:t>
      </w: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 infection, a blood, stool, or breath test may be ordered. </w:t>
      </w:r>
    </w:p>
    <w:p w:rsidR="006C5EE6" w:rsidRPr="008D2733" w:rsidRDefault="006C5EE6" w:rsidP="006C5EE6">
      <w:pPr>
        <w:numPr>
          <w:ilvl w:val="0"/>
          <w:numId w:val="8"/>
        </w:numPr>
        <w:shd w:val="clear" w:color="auto" w:fill="FFFFFF"/>
        <w:spacing w:after="0" w:line="420" w:lineRule="atLeast"/>
        <w:ind w:left="705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barium X-ray</w:t>
      </w: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: a thick white liquid (barium) that you drink helps the stomach and small intestine show up on X-rays</w:t>
      </w:r>
    </w:p>
    <w:p w:rsidR="006C5EE6" w:rsidRPr="008D2733" w:rsidRDefault="006C5EE6" w:rsidP="006C5EE6">
      <w:pPr>
        <w:numPr>
          <w:ilvl w:val="0"/>
          <w:numId w:val="8"/>
        </w:numPr>
        <w:shd w:val="clear" w:color="auto" w:fill="FFFFFF"/>
        <w:spacing w:after="0" w:line="420" w:lineRule="atLeast"/>
        <w:ind w:left="705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endoscopy</w:t>
      </w: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: a thin, lighted tube is inserted through the mouth and into the stomach to look for the presence of an ulcer</w:t>
      </w:r>
    </w:p>
    <w:p w:rsidR="006C5EE6" w:rsidRPr="008D2733" w:rsidRDefault="006C5EE6" w:rsidP="006C5EE6">
      <w:pPr>
        <w:numPr>
          <w:ilvl w:val="0"/>
          <w:numId w:val="8"/>
        </w:numPr>
        <w:shd w:val="clear" w:color="auto" w:fill="FFFFFF"/>
        <w:spacing w:after="0" w:line="420" w:lineRule="atLeast"/>
        <w:ind w:left="705"/>
        <w:textAlignment w:val="baselin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endoscopic biopsy</w:t>
      </w: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: a piece of stomach tissue is removed so it can be analyzed</w:t>
      </w:r>
    </w:p>
    <w:p w:rsidR="006C5EE6" w:rsidRPr="008D2733" w:rsidRDefault="006C5EE6" w:rsidP="006C5EE6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09379D" w:rsidRPr="008D2733" w:rsidRDefault="0009379D" w:rsidP="00E3110F">
      <w:pPr>
        <w:spacing w:before="240" w:after="72"/>
        <w:outlineLvl w:val="2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How stomach ulcers are treated</w:t>
      </w:r>
    </w:p>
    <w:p w:rsidR="0009379D" w:rsidRPr="008D2733" w:rsidRDefault="0009379D" w:rsidP="00E3110F">
      <w:pPr>
        <w:spacing w:after="0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With treatment, most stomach ulcers will heal within a month or two. The treatment recommended for you will depend on what caused the ulcer.</w:t>
      </w:r>
    </w:p>
    <w:p w:rsidR="0009379D" w:rsidRPr="008D2733" w:rsidRDefault="0009379D" w:rsidP="00E3110F">
      <w:pPr>
        <w:spacing w:after="0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Most people will be prescribed a medication called a proton pump inhibitor (PPI) to reduce the amount of acid their stomach produces, and allow the ulcer to heal naturally.</w:t>
      </w:r>
    </w:p>
    <w:p w:rsidR="0009379D" w:rsidRPr="008D2733" w:rsidRDefault="0009379D" w:rsidP="00E3110F">
      <w:pPr>
        <w:spacing w:after="0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If an H. pylori infection is responsible for the ulcers, </w:t>
      </w:r>
      <w:hyperlink r:id="rId6" w:history="1">
        <w:r w:rsidRPr="008D2733">
          <w:rPr>
            <w:rFonts w:asciiTheme="majorBidi" w:eastAsia="Times New Roman" w:hAnsiTheme="majorBidi" w:cstheme="majorBidi"/>
            <w:color w:val="000000" w:themeColor="text1"/>
            <w:sz w:val="32"/>
            <w:szCs w:val="32"/>
            <w:u w:val="single"/>
          </w:rPr>
          <w:t>antibiotics</w:t>
        </w:r>
      </w:hyperlink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will also be used to kill the bacteria, which should prevent the ulcer coming back.</w:t>
      </w:r>
    </w:p>
    <w:p w:rsidR="0009379D" w:rsidRPr="008D2733" w:rsidRDefault="0009379D" w:rsidP="00E3110F">
      <w:pPr>
        <w:spacing w:after="0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If the ulcers are caused by the use of NSAIDs, PPIs are usually prescribed and your doctor will discuss whether you should keep using NSAIDs. Alternative medication to NSAIDs, such as </w:t>
      </w:r>
      <w:proofErr w:type="spellStart"/>
      <w:r w:rsidR="008C4363"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fldChar w:fldCharType="begin"/>
      </w: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instrText xml:space="preserve"> HYPERLINK "http://www.nhs.uk/conditions/painkillers-paracetamol/pages/introduction.aspx" </w:instrText>
      </w:r>
      <w:r w:rsidR="008C4363"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fldChar w:fldCharType="separate"/>
      </w: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  <w:u w:val="single"/>
        </w:rPr>
        <w:t>paracetamol</w:t>
      </w:r>
      <w:proofErr w:type="spellEnd"/>
      <w:r w:rsidR="008C4363"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fldChar w:fldCharType="end"/>
      </w:r>
      <w:r w:rsidRPr="008D273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, may be recommended.</w:t>
      </w:r>
    </w:p>
    <w:p w:rsidR="0009379D" w:rsidRDefault="0009379D" w:rsidP="0009379D"/>
    <w:p w:rsidR="0009379D" w:rsidRDefault="0009379D" w:rsidP="0009379D"/>
    <w:sectPr w:rsidR="0009379D" w:rsidSect="009A77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8E3"/>
    <w:multiLevelType w:val="multilevel"/>
    <w:tmpl w:val="BE8A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41157"/>
    <w:multiLevelType w:val="multilevel"/>
    <w:tmpl w:val="AEC8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32A7B"/>
    <w:multiLevelType w:val="multilevel"/>
    <w:tmpl w:val="EE50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4B0526"/>
    <w:multiLevelType w:val="multilevel"/>
    <w:tmpl w:val="8434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735B16"/>
    <w:multiLevelType w:val="multilevel"/>
    <w:tmpl w:val="4348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635CB"/>
    <w:multiLevelType w:val="multilevel"/>
    <w:tmpl w:val="CFE6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2C5D59"/>
    <w:multiLevelType w:val="hybridMultilevel"/>
    <w:tmpl w:val="E774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71A78"/>
    <w:multiLevelType w:val="multilevel"/>
    <w:tmpl w:val="250A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460FEA"/>
    <w:multiLevelType w:val="multilevel"/>
    <w:tmpl w:val="890E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5B3B5E"/>
    <w:multiLevelType w:val="multilevel"/>
    <w:tmpl w:val="9700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071224"/>
    <w:multiLevelType w:val="multilevel"/>
    <w:tmpl w:val="253C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9E2A59"/>
    <w:multiLevelType w:val="multilevel"/>
    <w:tmpl w:val="9162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8944EF"/>
    <w:multiLevelType w:val="multilevel"/>
    <w:tmpl w:val="3C14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9F09E1"/>
    <w:multiLevelType w:val="multilevel"/>
    <w:tmpl w:val="38D4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9"/>
  </w:num>
  <w:num w:numId="5">
    <w:abstractNumId w:val="13"/>
  </w:num>
  <w:num w:numId="6">
    <w:abstractNumId w:val="8"/>
  </w:num>
  <w:num w:numId="7">
    <w:abstractNumId w:val="4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379D"/>
    <w:rsid w:val="0009379D"/>
    <w:rsid w:val="00143E86"/>
    <w:rsid w:val="002E42C7"/>
    <w:rsid w:val="002F17B5"/>
    <w:rsid w:val="004F10EC"/>
    <w:rsid w:val="0055498F"/>
    <w:rsid w:val="005C64AD"/>
    <w:rsid w:val="006C5EE6"/>
    <w:rsid w:val="0076300E"/>
    <w:rsid w:val="008C4363"/>
    <w:rsid w:val="008D2733"/>
    <w:rsid w:val="009A7793"/>
    <w:rsid w:val="00E3110F"/>
    <w:rsid w:val="00ED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.uk/Conditions/Antibiotics-penicillins/Pages/Introduction.aspx" TargetMode="External"/><Relationship Id="rId5" Type="http://schemas.openxmlformats.org/officeDocument/2006/relationships/hyperlink" Target="http://www.nhs.uk/conditions/vomiting-blood/Pages/Introductio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2015-12-12T05:54:00Z</dcterms:created>
  <dcterms:modified xsi:type="dcterms:W3CDTF">2015-12-12T14:26:00Z</dcterms:modified>
</cp:coreProperties>
</file>