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FC" w:rsidRDefault="00CF5AFC" w:rsidP="00CF5AFC">
      <w:pPr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Glomerulonephritis</w:t>
      </w:r>
    </w:p>
    <w:p w:rsidR="00917E5F" w:rsidRDefault="00917E5F" w:rsidP="00917E5F">
      <w:pPr>
        <w:jc w:val="both"/>
        <w:rPr>
          <w:sz w:val="28"/>
          <w:szCs w:val="28"/>
        </w:rPr>
      </w:pPr>
      <w:r>
        <w:rPr>
          <w:sz w:val="28"/>
          <w:szCs w:val="28"/>
        </w:rPr>
        <w:t>Glomerulonephritis means ‘inflammation of glomeruli’. Most types of glomerulonephritis are often caused by an immune response triggered by an infection or other disease like:</w:t>
      </w:r>
    </w:p>
    <w:p w:rsidR="00917E5F" w:rsidRDefault="00917E5F" w:rsidP="00917E5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Post-streptococcal glomerulonephritis.</w:t>
      </w:r>
    </w:p>
    <w:p w:rsidR="00917E5F" w:rsidRDefault="00917E5F" w:rsidP="00917E5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Infective endocarditis.</w:t>
      </w:r>
    </w:p>
    <w:p w:rsidR="00917E5F" w:rsidRDefault="00917E5F" w:rsidP="00917E5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Systemic lupus erythematous (SLE).</w:t>
      </w:r>
    </w:p>
    <w:p w:rsidR="00917E5F" w:rsidRDefault="00917E5F" w:rsidP="00917E5F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Clinical features</w:t>
      </w:r>
    </w:p>
    <w:p w:rsidR="00917E5F" w:rsidRDefault="00917E5F" w:rsidP="00917E5F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Haematuria (visible or non-visible) – red cell casts are typically seen in urine microscopy.</w:t>
      </w:r>
    </w:p>
    <w:p w:rsidR="00917E5F" w:rsidRDefault="00917E5F" w:rsidP="00917E5F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Proteinuria.</w:t>
      </w:r>
    </w:p>
    <w:p w:rsidR="00917E5F" w:rsidRDefault="00917E5F" w:rsidP="00917E5F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Hypertension and oedema.</w:t>
      </w:r>
    </w:p>
    <w:p w:rsidR="00917E5F" w:rsidRDefault="00917E5F" w:rsidP="00917E5F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Oliguria.</w:t>
      </w:r>
    </w:p>
    <w:p w:rsidR="00917E5F" w:rsidRDefault="00917E5F" w:rsidP="00917E5F">
      <w:pPr>
        <w:jc w:val="both"/>
        <w:rPr>
          <w:sz w:val="28"/>
          <w:szCs w:val="28"/>
        </w:rPr>
      </w:pPr>
    </w:p>
    <w:p w:rsidR="00917E5F" w:rsidRDefault="00917E5F" w:rsidP="00917E5F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Investigations</w:t>
      </w:r>
    </w:p>
    <w:p w:rsidR="00917E5F" w:rsidRDefault="00917E5F" w:rsidP="00917E5F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Urine tests for RBCs, cast and protein.</w:t>
      </w:r>
    </w:p>
    <w:p w:rsidR="00917E5F" w:rsidRDefault="00917E5F" w:rsidP="00917E5F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Blood urea, serum </w:t>
      </w:r>
      <w:proofErr w:type="spellStart"/>
      <w:r>
        <w:rPr>
          <w:sz w:val="28"/>
          <w:szCs w:val="28"/>
        </w:rPr>
        <w:t>creatinine</w:t>
      </w:r>
      <w:proofErr w:type="spellEnd"/>
      <w:r>
        <w:rPr>
          <w:sz w:val="28"/>
          <w:szCs w:val="28"/>
        </w:rPr>
        <w:t xml:space="preserve"> and electrolytes.</w:t>
      </w:r>
    </w:p>
    <w:p w:rsidR="00917E5F" w:rsidRDefault="00917E5F" w:rsidP="00917E5F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Serum albumin.</w:t>
      </w:r>
    </w:p>
    <w:p w:rsidR="00917E5F" w:rsidRDefault="00917E5F" w:rsidP="00917E5F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Antinuclear (ANA) and anti-DNA antibodies. </w:t>
      </w:r>
    </w:p>
    <w:p w:rsidR="00917E5F" w:rsidRDefault="00917E5F" w:rsidP="00917E5F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Hepatitis B surface antigen and hepatitis C antibody.</w:t>
      </w:r>
    </w:p>
    <w:p w:rsidR="00917E5F" w:rsidRDefault="00917E5F" w:rsidP="00917E5F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Ultrasound of kidneys.</w:t>
      </w:r>
    </w:p>
    <w:p w:rsidR="00917E5F" w:rsidRDefault="00917E5F" w:rsidP="00917E5F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Renal biopsy.</w:t>
      </w:r>
    </w:p>
    <w:p w:rsidR="00CF5AFC" w:rsidRPr="00CF5AFC" w:rsidRDefault="00CF5AFC" w:rsidP="00CF5AFC">
      <w:pPr>
        <w:jc w:val="both"/>
        <w:rPr>
          <w:b/>
          <w:bCs/>
          <w:sz w:val="44"/>
          <w:szCs w:val="44"/>
        </w:rPr>
      </w:pPr>
      <w:proofErr w:type="spellStart"/>
      <w:r w:rsidRPr="00CF5AFC">
        <w:rPr>
          <w:b/>
          <w:bCs/>
          <w:sz w:val="44"/>
          <w:szCs w:val="44"/>
        </w:rPr>
        <w:t>Nephrotic</w:t>
      </w:r>
      <w:proofErr w:type="spellEnd"/>
      <w:r w:rsidRPr="00CF5AFC">
        <w:rPr>
          <w:b/>
          <w:bCs/>
          <w:sz w:val="44"/>
          <w:szCs w:val="44"/>
        </w:rPr>
        <w:t xml:space="preserve"> syndrome</w:t>
      </w:r>
    </w:p>
    <w:p w:rsidR="00917E5F" w:rsidRDefault="00917E5F" w:rsidP="00917E5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Nephrotic</w:t>
      </w:r>
      <w:proofErr w:type="spellEnd"/>
      <w:r>
        <w:rPr>
          <w:sz w:val="28"/>
          <w:szCs w:val="28"/>
        </w:rPr>
        <w:t xml:space="preserve"> syndrome is a primary glomerular disease characterized by proteinuria, </w:t>
      </w:r>
      <w:proofErr w:type="spellStart"/>
      <w:r>
        <w:rPr>
          <w:sz w:val="28"/>
          <w:szCs w:val="28"/>
        </w:rPr>
        <w:t>hypoalbuminemia</w:t>
      </w:r>
      <w:proofErr w:type="spellEnd"/>
      <w:r>
        <w:rPr>
          <w:sz w:val="28"/>
          <w:szCs w:val="28"/>
        </w:rPr>
        <w:t xml:space="preserve">, diffuse </w:t>
      </w:r>
      <w:proofErr w:type="spellStart"/>
      <w:r>
        <w:rPr>
          <w:sz w:val="28"/>
          <w:szCs w:val="28"/>
        </w:rPr>
        <w:t>edema</w:t>
      </w:r>
      <w:proofErr w:type="spellEnd"/>
      <w:r>
        <w:rPr>
          <w:sz w:val="28"/>
          <w:szCs w:val="28"/>
        </w:rPr>
        <w:t xml:space="preserve">, high serum cholesterol, and </w:t>
      </w:r>
      <w:proofErr w:type="spellStart"/>
      <w:r>
        <w:rPr>
          <w:sz w:val="28"/>
          <w:szCs w:val="28"/>
        </w:rPr>
        <w:t>hyperlipidemia</w:t>
      </w:r>
      <w:proofErr w:type="spellEnd"/>
      <w:r>
        <w:rPr>
          <w:sz w:val="28"/>
          <w:szCs w:val="28"/>
        </w:rPr>
        <w:t>. It is caused by increased glomerular permeability with loss of protein in the urine. It is characterised by:</w:t>
      </w:r>
    </w:p>
    <w:p w:rsidR="00917E5F" w:rsidRDefault="00917E5F" w:rsidP="00917E5F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Hypoalbuminaemia</w:t>
      </w:r>
      <w:proofErr w:type="spellEnd"/>
      <w:r>
        <w:rPr>
          <w:sz w:val="28"/>
          <w:szCs w:val="28"/>
        </w:rPr>
        <w:t xml:space="preserve"> (serum albumin &lt;30 g/L) develops as a consequence of heavy proteinuria (&gt;3.5 g/24 h in adults)</w:t>
      </w:r>
    </w:p>
    <w:p w:rsidR="00917E5F" w:rsidRDefault="00917E5F" w:rsidP="00917E5F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Edema</w:t>
      </w:r>
      <w:proofErr w:type="spellEnd"/>
      <w:r>
        <w:rPr>
          <w:sz w:val="28"/>
          <w:szCs w:val="28"/>
        </w:rPr>
        <w:t>: commonly occurs around the eyes (</w:t>
      </w:r>
      <w:proofErr w:type="spellStart"/>
      <w:r>
        <w:rPr>
          <w:sz w:val="28"/>
          <w:szCs w:val="28"/>
        </w:rPr>
        <w:t>periorbital</w:t>
      </w:r>
      <w:proofErr w:type="spellEnd"/>
      <w:r>
        <w:rPr>
          <w:sz w:val="28"/>
          <w:szCs w:val="28"/>
        </w:rPr>
        <w:t>), in dependent areas (sacrum, ankles, and hands), and in the abdomen (ascites).</w:t>
      </w:r>
    </w:p>
    <w:p w:rsidR="00917E5F" w:rsidRDefault="00917E5F" w:rsidP="00917E5F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Hyperlipidemia</w:t>
      </w:r>
      <w:proofErr w:type="spellEnd"/>
      <w:r>
        <w:rPr>
          <w:sz w:val="28"/>
          <w:szCs w:val="28"/>
        </w:rPr>
        <w:t>.</w:t>
      </w:r>
    </w:p>
    <w:p w:rsidR="00917E5F" w:rsidRDefault="00917E5F" w:rsidP="00917E5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Investigations</w:t>
      </w:r>
      <w:r>
        <w:rPr>
          <w:sz w:val="28"/>
          <w:szCs w:val="28"/>
        </w:rPr>
        <w:t>: same as investigations of glomerulonephritis:</w:t>
      </w:r>
    </w:p>
    <w:p w:rsidR="00917E5F" w:rsidRDefault="00917E5F" w:rsidP="00917E5F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Urine tests for RBCs, cast and protein.</w:t>
      </w:r>
    </w:p>
    <w:p w:rsidR="00917E5F" w:rsidRDefault="00917E5F" w:rsidP="00917E5F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Blood urea, serum </w:t>
      </w:r>
      <w:proofErr w:type="spellStart"/>
      <w:r>
        <w:rPr>
          <w:sz w:val="28"/>
          <w:szCs w:val="28"/>
        </w:rPr>
        <w:t>creatinine</w:t>
      </w:r>
      <w:proofErr w:type="spellEnd"/>
      <w:r>
        <w:rPr>
          <w:sz w:val="28"/>
          <w:szCs w:val="28"/>
        </w:rPr>
        <w:t xml:space="preserve"> and electrolytes.</w:t>
      </w:r>
    </w:p>
    <w:p w:rsidR="00917E5F" w:rsidRDefault="00917E5F" w:rsidP="00917E5F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Serum albumin.</w:t>
      </w:r>
    </w:p>
    <w:p w:rsidR="00917E5F" w:rsidRDefault="00917E5F" w:rsidP="00917E5F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Antinuclear (ANA) and anti-DNA </w:t>
      </w:r>
      <w:proofErr w:type="gramStart"/>
      <w:r>
        <w:rPr>
          <w:sz w:val="28"/>
          <w:szCs w:val="28"/>
        </w:rPr>
        <w:t>antibodies .</w:t>
      </w:r>
      <w:proofErr w:type="gramEnd"/>
    </w:p>
    <w:p w:rsidR="00917E5F" w:rsidRDefault="00917E5F" w:rsidP="00917E5F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Hepatitis B surface antigen and hepatitis C antibody.</w:t>
      </w:r>
    </w:p>
    <w:p w:rsidR="00917E5F" w:rsidRDefault="00917E5F" w:rsidP="00917E5F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Ultrasound of kidneys.</w:t>
      </w:r>
    </w:p>
    <w:p w:rsidR="00917E5F" w:rsidRDefault="00917E5F" w:rsidP="00917E5F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Renal biopsy.</w:t>
      </w:r>
    </w:p>
    <w:p w:rsidR="00917E5F" w:rsidRDefault="00917E5F" w:rsidP="00917E5F">
      <w:pPr>
        <w:jc w:val="both"/>
        <w:rPr>
          <w:sz w:val="28"/>
          <w:szCs w:val="28"/>
        </w:rPr>
      </w:pPr>
    </w:p>
    <w:p w:rsidR="00917E5F" w:rsidRDefault="00917E5F" w:rsidP="00917E5F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Management</w:t>
      </w:r>
      <w:r>
        <w:rPr>
          <w:sz w:val="28"/>
          <w:szCs w:val="28"/>
        </w:rPr>
        <w:t>: treatment includes</w:t>
      </w:r>
    </w:p>
    <w:p w:rsidR="00917E5F" w:rsidRDefault="00917E5F" w:rsidP="00917E5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Diuretics for </w:t>
      </w:r>
      <w:proofErr w:type="spellStart"/>
      <w:r>
        <w:rPr>
          <w:sz w:val="28"/>
          <w:szCs w:val="28"/>
        </w:rPr>
        <w:t>edema</w:t>
      </w:r>
      <w:proofErr w:type="spellEnd"/>
      <w:r>
        <w:rPr>
          <w:sz w:val="28"/>
          <w:szCs w:val="28"/>
        </w:rPr>
        <w:t xml:space="preserve">. </w:t>
      </w:r>
    </w:p>
    <w:p w:rsidR="00917E5F" w:rsidRDefault="00917E5F" w:rsidP="00917E5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Angiotensin-converting enzyme (ACE) inhibitors to reduce proteinuria.</w:t>
      </w:r>
    </w:p>
    <w:p w:rsidR="00917E5F" w:rsidRDefault="00917E5F" w:rsidP="00917E5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Lipid-lowering agents for </w:t>
      </w:r>
      <w:proofErr w:type="spellStart"/>
      <w:r>
        <w:rPr>
          <w:sz w:val="28"/>
          <w:szCs w:val="28"/>
        </w:rPr>
        <w:t>hyperlipidemia</w:t>
      </w:r>
      <w:proofErr w:type="spellEnd"/>
      <w:r>
        <w:rPr>
          <w:sz w:val="28"/>
          <w:szCs w:val="28"/>
        </w:rPr>
        <w:t>.</w:t>
      </w:r>
    </w:p>
    <w:p w:rsidR="00917E5F" w:rsidRDefault="00E55F25" w:rsidP="00917E5F">
      <w:pPr>
        <w:jc w:val="both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gout</w:t>
      </w:r>
      <w:proofErr w:type="gramEnd"/>
    </w:p>
    <w:p w:rsidR="00917E5F" w:rsidRDefault="00917E5F" w:rsidP="00917E5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Gout is inflammatory conditions related to a genetic defect of purine metabolism and resulting in </w:t>
      </w:r>
      <w:proofErr w:type="spellStart"/>
      <w:r>
        <w:rPr>
          <w:sz w:val="28"/>
          <w:szCs w:val="28"/>
        </w:rPr>
        <w:t>hyperuricemia</w:t>
      </w:r>
      <w:proofErr w:type="spellEnd"/>
      <w:r>
        <w:rPr>
          <w:sz w:val="28"/>
          <w:szCs w:val="28"/>
        </w:rPr>
        <w:t>. Over secretion of uric acid or a renal defect resulting in decreased excretion of uric acid, or a combination of both. The incidence of gout increases with age and body mass index, and the disorder occurs more commonly in males than in females.</w:t>
      </w:r>
    </w:p>
    <w:p w:rsidR="00917E5F" w:rsidRDefault="00917E5F" w:rsidP="00917E5F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Primary </w:t>
      </w:r>
      <w:proofErr w:type="spellStart"/>
      <w:r>
        <w:rPr>
          <w:b/>
          <w:bCs/>
          <w:sz w:val="28"/>
          <w:szCs w:val="28"/>
          <w:u w:val="single"/>
        </w:rPr>
        <w:t>hyperuricemia</w:t>
      </w:r>
      <w:proofErr w:type="spellEnd"/>
      <w:r>
        <w:rPr>
          <w:b/>
          <w:bCs/>
          <w:sz w:val="28"/>
          <w:szCs w:val="28"/>
          <w:u w:val="single"/>
        </w:rPr>
        <w:t xml:space="preserve"> may be due to </w:t>
      </w:r>
    </w:p>
    <w:p w:rsidR="00917E5F" w:rsidRDefault="00917E5F" w:rsidP="00917E5F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Severe dieting or starvation.</w:t>
      </w:r>
    </w:p>
    <w:p w:rsidR="00917E5F" w:rsidRDefault="00917E5F" w:rsidP="00917E5F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Excessive intake of foods high in purines. </w:t>
      </w:r>
    </w:p>
    <w:p w:rsidR="00917E5F" w:rsidRDefault="00917E5F" w:rsidP="00917E5F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Heredity. </w:t>
      </w:r>
    </w:p>
    <w:p w:rsidR="00917E5F" w:rsidRDefault="00917E5F" w:rsidP="00917E5F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secondary</w:t>
      </w:r>
      <w:proofErr w:type="gram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hyperuricemia</w:t>
      </w:r>
      <w:proofErr w:type="spellEnd"/>
    </w:p>
    <w:p w:rsidR="00917E5F" w:rsidRDefault="00917E5F" w:rsidP="00917E5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In secondary </w:t>
      </w:r>
      <w:proofErr w:type="spellStart"/>
      <w:r>
        <w:rPr>
          <w:sz w:val="28"/>
          <w:szCs w:val="28"/>
        </w:rPr>
        <w:t>hyperuricemia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the gout is a clinical feature secondary to any of a number of genetic or acquired processes, including conditions with an increase in cell turnover (leukaemia, multiple myeloma, psoriasis, and some anaemia) and an increase in cell breakdown.</w:t>
      </w:r>
    </w:p>
    <w:p w:rsidR="00917E5F" w:rsidRDefault="00917E5F" w:rsidP="00917E5F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Clinical Manifestations:</w:t>
      </w:r>
    </w:p>
    <w:p w:rsidR="00917E5F" w:rsidRDefault="00917E5F" w:rsidP="00917E5F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Acute arthritis of gout is the most common early sign.</w:t>
      </w:r>
    </w:p>
    <w:p w:rsidR="00917E5F" w:rsidRDefault="00917E5F" w:rsidP="00917E5F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Higher serum concentrations of uric acid are associated with tophus formation.</w:t>
      </w:r>
    </w:p>
    <w:p w:rsidR="00917E5F" w:rsidRDefault="00917E5F" w:rsidP="00917E5F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Tophi are generally associated with frequent and severe inflammatory episodes.</w:t>
      </w:r>
    </w:p>
    <w:p w:rsidR="00917E5F" w:rsidRDefault="00917E5F" w:rsidP="00917E5F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Joint enlargement may cause loss of joint motion.</w:t>
      </w:r>
    </w:p>
    <w:p w:rsidR="00917E5F" w:rsidRDefault="00917E5F" w:rsidP="00917E5F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acute attack may be triggered by trauma, alcohol ingestion, dieting, medication, surgical stress, or illness.</w:t>
      </w:r>
    </w:p>
    <w:p w:rsidR="00917E5F" w:rsidRDefault="00917E5F" w:rsidP="00917E5F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Uric acid deposits may cause renal stones and kidney damage.</w:t>
      </w:r>
    </w:p>
    <w:p w:rsidR="00917E5F" w:rsidRDefault="00917E5F" w:rsidP="00917E5F">
      <w:pPr>
        <w:jc w:val="both"/>
        <w:rPr>
          <w:b/>
          <w:bCs/>
          <w:sz w:val="28"/>
          <w:szCs w:val="28"/>
        </w:rPr>
      </w:pPr>
    </w:p>
    <w:p w:rsidR="00917E5F" w:rsidRDefault="00917E5F" w:rsidP="00917E5F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Diagnosis </w:t>
      </w:r>
    </w:p>
    <w:p w:rsidR="00917E5F" w:rsidRDefault="00917E5F" w:rsidP="00917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definitive diagnosis of gouty arthritis is established by polarized light microscopy of the synovial fluid of the involved joint. Uric acid crystals are seen within the </w:t>
      </w:r>
      <w:proofErr w:type="spellStart"/>
      <w:r>
        <w:rPr>
          <w:sz w:val="28"/>
          <w:szCs w:val="28"/>
        </w:rPr>
        <w:t>polymorphonuclear</w:t>
      </w:r>
      <w:proofErr w:type="spellEnd"/>
      <w:r>
        <w:rPr>
          <w:sz w:val="28"/>
          <w:szCs w:val="28"/>
        </w:rPr>
        <w:t xml:space="preserve"> leukocytes in the fluid.</w:t>
      </w:r>
    </w:p>
    <w:p w:rsidR="00917E5F" w:rsidRDefault="00917E5F" w:rsidP="00917E5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Management</w:t>
      </w:r>
    </w:p>
    <w:p w:rsidR="00917E5F" w:rsidRDefault="00917E5F" w:rsidP="00917E5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Colchicine (oral), an NSAID such as indomethacin, or a corticosteroid is prescribed to relieve an acute attack of gout.</w:t>
      </w:r>
    </w:p>
    <w:p w:rsidR="00917E5F" w:rsidRDefault="00917E5F" w:rsidP="00917E5F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Uricosuric</w:t>
      </w:r>
      <w:proofErr w:type="spellEnd"/>
      <w:r>
        <w:rPr>
          <w:sz w:val="28"/>
          <w:szCs w:val="28"/>
        </w:rPr>
        <w:t xml:space="preserve"> agents, such as </w:t>
      </w:r>
      <w:proofErr w:type="spellStart"/>
      <w:r>
        <w:rPr>
          <w:sz w:val="28"/>
          <w:szCs w:val="28"/>
        </w:rPr>
        <w:t>probenecid</w:t>
      </w:r>
      <w:proofErr w:type="spellEnd"/>
      <w:r>
        <w:rPr>
          <w:sz w:val="28"/>
          <w:szCs w:val="28"/>
        </w:rPr>
        <w:t xml:space="preserve">, correct </w:t>
      </w:r>
      <w:proofErr w:type="spellStart"/>
      <w:r>
        <w:rPr>
          <w:sz w:val="28"/>
          <w:szCs w:val="28"/>
        </w:rPr>
        <w:t>hyperuricemia</w:t>
      </w:r>
      <w:proofErr w:type="spellEnd"/>
      <w:r>
        <w:rPr>
          <w:sz w:val="28"/>
          <w:szCs w:val="28"/>
        </w:rPr>
        <w:t xml:space="preserve"> and dissolve deposited </w:t>
      </w:r>
      <w:proofErr w:type="spellStart"/>
      <w:r>
        <w:rPr>
          <w:sz w:val="28"/>
          <w:szCs w:val="28"/>
        </w:rPr>
        <w:t>urate</w:t>
      </w:r>
      <w:proofErr w:type="spellEnd"/>
      <w:r>
        <w:rPr>
          <w:sz w:val="28"/>
          <w:szCs w:val="28"/>
        </w:rPr>
        <w:t>.</w:t>
      </w:r>
    </w:p>
    <w:p w:rsidR="00917E5F" w:rsidRDefault="00917E5F" w:rsidP="00917E5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Allopurinol is effective when renal insufficiency or renal calculi are a risk.</w:t>
      </w:r>
    </w:p>
    <w:p w:rsidR="00917E5F" w:rsidRDefault="00917E5F" w:rsidP="00917E5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Corticosteroids may be used in patients who have no response to other therapy.</w:t>
      </w:r>
    </w:p>
    <w:p w:rsidR="00F605FE" w:rsidRDefault="00F605FE"/>
    <w:sectPr w:rsidR="00F605FE" w:rsidSect="00347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113"/>
    <w:multiLevelType w:val="hybridMultilevel"/>
    <w:tmpl w:val="5F441786"/>
    <w:lvl w:ilvl="0" w:tplc="CCFEB55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0759"/>
    <w:multiLevelType w:val="hybridMultilevel"/>
    <w:tmpl w:val="8F2877AA"/>
    <w:lvl w:ilvl="0" w:tplc="04090011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1413BA"/>
    <w:multiLevelType w:val="hybridMultilevel"/>
    <w:tmpl w:val="EE18B348"/>
    <w:lvl w:ilvl="0" w:tplc="81B8D6A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B495D"/>
    <w:multiLevelType w:val="hybridMultilevel"/>
    <w:tmpl w:val="57BC2122"/>
    <w:lvl w:ilvl="0" w:tplc="FA8C6AF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392CDC"/>
    <w:multiLevelType w:val="hybridMultilevel"/>
    <w:tmpl w:val="7590A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26648"/>
    <w:multiLevelType w:val="hybridMultilevel"/>
    <w:tmpl w:val="A7D4DDA8"/>
    <w:lvl w:ilvl="0" w:tplc="F6BE737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C96E5C"/>
    <w:multiLevelType w:val="hybridMultilevel"/>
    <w:tmpl w:val="A47CB15A"/>
    <w:lvl w:ilvl="0" w:tplc="04090011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33FC6"/>
    <w:multiLevelType w:val="hybridMultilevel"/>
    <w:tmpl w:val="90849C84"/>
    <w:lvl w:ilvl="0" w:tplc="FA8C6AF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37ECB"/>
    <w:multiLevelType w:val="hybridMultilevel"/>
    <w:tmpl w:val="22B035F6"/>
    <w:lvl w:ilvl="0" w:tplc="FA8C6AF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378B1"/>
    <w:multiLevelType w:val="hybridMultilevel"/>
    <w:tmpl w:val="F6BAD1E0"/>
    <w:lvl w:ilvl="0" w:tplc="FA8C6AF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550667"/>
    <w:multiLevelType w:val="hybridMultilevel"/>
    <w:tmpl w:val="6D68B1C2"/>
    <w:lvl w:ilvl="0" w:tplc="E73A3A4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D"/>
    <w:rsid w:val="0010560D"/>
    <w:rsid w:val="00347F79"/>
    <w:rsid w:val="00917E5F"/>
    <w:rsid w:val="00C652D0"/>
    <w:rsid w:val="00CF5AFC"/>
    <w:rsid w:val="00E55F25"/>
    <w:rsid w:val="00F6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5F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5F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8A68-0E58-4219-8CF8-7585333F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3032</Characters>
  <Application>Microsoft Office Word</Application>
  <DocSecurity>0</DocSecurity>
  <Lines>25</Lines>
  <Paragraphs>7</Paragraphs>
  <ScaleCrop>false</ScaleCrop>
  <Company>Grizli777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2016-12-08T07:01:00Z</dcterms:created>
  <dcterms:modified xsi:type="dcterms:W3CDTF">2017-01-19T08:31:00Z</dcterms:modified>
</cp:coreProperties>
</file>